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240" w:lineRule="auto"/>
        <w:rPr>
          <w:rFonts w:ascii="inherit" w:hAnsi="inherit" w:eastAsia="Times New Roman" w:cs="Times New Roman"/>
          <w:color w:val="000000"/>
          <w:sz w:val="18"/>
          <w:szCs w:val="18"/>
          <w:lang w:val="en-US"/>
        </w:rPr>
      </w:pPr>
      <w:r>
        <w:rPr>
          <w:rFonts w:ascii="inherit" w:hAnsi="inherit" w:eastAsia="Times New Roman" w:cs="Times New Roman"/>
          <w:color w:val="000000"/>
          <w:sz w:val="18"/>
          <w:szCs w:val="18"/>
          <w:lang w:val="en-US"/>
        </w:rPr>
        <w:t xml:space="preserve">Abdulaziz Alanze </w:t>
      </w:r>
    </w:p>
    <w:p>
      <w:pPr>
        <w:shd w:val="clear" w:color="auto" w:fill="FFFFFF"/>
        <w:spacing w:after="0" w:line="240" w:lineRule="auto"/>
        <w:rPr>
          <w:rFonts w:ascii="inherit" w:hAnsi="inherit" w:eastAsia="Times New Roman" w:cs="Times New Roman"/>
          <w:color w:val="000000"/>
          <w:sz w:val="18"/>
          <w:szCs w:val="18"/>
          <w:lang w:val="en-US"/>
        </w:rPr>
      </w:pPr>
      <w:r>
        <w:rPr>
          <w:rFonts w:ascii="inherit" w:hAnsi="inherit" w:eastAsia="Times New Roman" w:cs="Times New Roman"/>
          <w:color w:val="000000"/>
          <w:sz w:val="18"/>
          <w:szCs w:val="18"/>
          <w:lang w:val="en-US"/>
        </w:rPr>
        <w:t>Shakeel Anjum</w:t>
      </w:r>
    </w:p>
    <w:p>
      <w:pPr>
        <w:shd w:val="clear" w:color="auto" w:fill="FFFFFF"/>
        <w:spacing w:after="0" w:line="240" w:lineRule="auto"/>
        <w:rPr>
          <w:rFonts w:ascii="inherit" w:hAnsi="inherit" w:eastAsia="Times New Roman" w:cs="Times New Roman"/>
          <w:color w:val="000000"/>
          <w:sz w:val="18"/>
          <w:szCs w:val="18"/>
          <w:lang w:val="en-US"/>
        </w:rPr>
      </w:pPr>
      <w:r>
        <w:rPr>
          <w:rFonts w:ascii="inherit" w:hAnsi="inherit" w:eastAsia="Times New Roman" w:cs="Times New Roman"/>
          <w:color w:val="000000"/>
          <w:sz w:val="18"/>
          <w:szCs w:val="18"/>
          <w:lang w:val="en-US"/>
        </w:rPr>
        <w:t>MATH 125</w:t>
      </w:r>
    </w:p>
    <w:p>
      <w:pPr>
        <w:shd w:val="clear" w:color="auto" w:fill="FFFFFF"/>
        <w:spacing w:after="0" w:line="240" w:lineRule="auto"/>
        <w:rPr>
          <w:rFonts w:ascii="inherit" w:hAnsi="inherit" w:eastAsia="Times New Roman" w:cs="Times New Roman"/>
          <w:color w:val="000000"/>
          <w:sz w:val="18"/>
          <w:szCs w:val="18"/>
          <w:lang w:val="en-US"/>
        </w:rPr>
      </w:pPr>
      <w:r>
        <w:rPr>
          <w:rFonts w:ascii="inherit" w:hAnsi="inherit" w:eastAsia="Times New Roman" w:cs="Times New Roman"/>
          <w:color w:val="000000"/>
          <w:sz w:val="18"/>
          <w:szCs w:val="18"/>
          <w:lang w:val="en-US"/>
        </w:rPr>
        <w:t>MAR-15-2016</w:t>
      </w:r>
    </w:p>
    <w:p>
      <w:pPr>
        <w:shd w:val="clear" w:color="auto" w:fill="FFFFFF"/>
        <w:spacing w:after="0" w:line="240" w:lineRule="auto"/>
        <w:rPr>
          <w:rFonts w:ascii="inherit" w:hAnsi="inherit" w:eastAsia="Times New Roman" w:cs="Times New Roman"/>
          <w:color w:val="000000"/>
          <w:sz w:val="18"/>
          <w:szCs w:val="18"/>
          <w:lang w:val="en-US"/>
        </w:rPr>
      </w:pPr>
      <w:bookmarkStart w:id="0" w:name="_GoBack"/>
      <w:bookmarkEnd w:id="0"/>
    </w:p>
    <w:p>
      <w:pPr>
        <w:shd w:val="clear" w:color="auto" w:fill="FFFFFF"/>
        <w:spacing w:after="0" w:line="240" w:lineRule="auto"/>
        <w:rPr>
          <w:rFonts w:ascii="Times New Roman" w:hAnsi="Times New Roman" w:eastAsia="Times New Roman" w:cs="Times New Roman"/>
          <w:color w:val="000000"/>
          <w:sz w:val="24"/>
          <w:szCs w:val="24"/>
        </w:rPr>
      </w:pPr>
    </w:p>
    <w:p>
      <w:pPr>
        <w:autoSpaceDE w:val="0"/>
        <w:autoSpaceDN w:val="0"/>
        <w:adjustRightInd w:val="0"/>
        <w:spacing w:after="0" w:line="240" w:lineRule="auto"/>
        <w:jc w:val="center"/>
        <w:rPr>
          <w:rFonts w:ascii="GuardianSans-Medium" w:hAnsi="GuardianSans-Medium" w:cs="GuardianSans-Medium"/>
          <w:color w:val="FF0000"/>
          <w:sz w:val="36"/>
          <w:szCs w:val="36"/>
        </w:rPr>
      </w:pPr>
      <w:r>
        <w:rPr>
          <w:rFonts w:ascii="GuardianSans-Medium" w:hAnsi="GuardianSans-Medium" w:cs="GuardianSans-Medium"/>
          <w:color w:val="FF0000"/>
          <w:sz w:val="36"/>
          <w:szCs w:val="36"/>
        </w:rPr>
        <w:t>Effects of Intensive Diet and Exercise on Knee Joint Loads,</w:t>
      </w:r>
    </w:p>
    <w:p>
      <w:pPr>
        <w:autoSpaceDE w:val="0"/>
        <w:autoSpaceDN w:val="0"/>
        <w:adjustRightInd w:val="0"/>
        <w:spacing w:after="0" w:line="240" w:lineRule="auto"/>
        <w:jc w:val="center"/>
        <w:rPr>
          <w:rFonts w:ascii="GuardianSans-Medium" w:hAnsi="GuardianSans-Medium" w:cs="GuardianSans-Medium"/>
          <w:color w:val="FF0000"/>
          <w:sz w:val="36"/>
          <w:szCs w:val="36"/>
        </w:rPr>
      </w:pPr>
      <w:r>
        <w:rPr>
          <w:rFonts w:ascii="GuardianSans-Medium" w:hAnsi="GuardianSans-Medium" w:cs="GuardianSans-Medium"/>
          <w:color w:val="FF0000"/>
          <w:sz w:val="36"/>
          <w:szCs w:val="36"/>
        </w:rPr>
        <w:t>Inflammation, and Clinical Outcomes Among Overweight</w:t>
      </w:r>
    </w:p>
    <w:p>
      <w:pPr>
        <w:autoSpaceDE w:val="0"/>
        <w:autoSpaceDN w:val="0"/>
        <w:adjustRightInd w:val="0"/>
        <w:spacing w:after="0" w:line="240" w:lineRule="auto"/>
        <w:jc w:val="center"/>
        <w:rPr>
          <w:rFonts w:ascii="GuardianSans-Medium" w:hAnsi="GuardianSans-Medium" w:cs="GuardianSans-Medium"/>
          <w:color w:val="FF0000"/>
          <w:sz w:val="36"/>
          <w:szCs w:val="36"/>
        </w:rPr>
      </w:pPr>
      <w:r>
        <w:rPr>
          <w:rFonts w:ascii="GuardianSans-Medium" w:hAnsi="GuardianSans-Medium" w:cs="GuardianSans-Medium"/>
          <w:color w:val="FF0000"/>
          <w:sz w:val="36"/>
          <w:szCs w:val="36"/>
        </w:rPr>
        <w:t>and Obese Adults With Knee Osteoarthritis</w:t>
      </w:r>
    </w:p>
    <w:p>
      <w:pPr>
        <w:autoSpaceDE w:val="0"/>
        <w:autoSpaceDN w:val="0"/>
        <w:adjustRightInd w:val="0"/>
        <w:spacing w:after="0" w:line="240" w:lineRule="auto"/>
        <w:jc w:val="center"/>
        <w:rPr>
          <w:rFonts w:ascii="Times New Roman" w:hAnsi="Times New Roman" w:eastAsia="Times New Roman" w:cs="Times New Roman"/>
          <w:color w:val="FF0000"/>
          <w:sz w:val="24"/>
          <w:szCs w:val="24"/>
        </w:rPr>
      </w:pPr>
      <w:r>
        <w:rPr>
          <w:rFonts w:ascii="GuardianSansGR-Regular" w:hAnsi="GuardianSans-Medium" w:eastAsia="GuardianSansGR-Regular" w:cs="GuardianSansGR-Regular"/>
          <w:color w:val="FF0000"/>
          <w:sz w:val="36"/>
          <w:szCs w:val="36"/>
        </w:rPr>
        <w:t>The IDEA Randomized Clinical Trial</w:t>
      </w:r>
    </w:p>
    <w:p>
      <w:pPr>
        <w:shd w:val="clear" w:color="auto" w:fill="FFFFFF"/>
        <w:spacing w:after="0" w:line="240" w:lineRule="auto"/>
        <w:rPr>
          <w:rFonts w:ascii="Times New Roman" w:hAnsi="Times New Roman" w:eastAsia="Times New Roman" w:cs="Times New Roman"/>
          <w:color w:val="000000"/>
          <w:sz w:val="24"/>
          <w:szCs w:val="24"/>
        </w:rPr>
      </w:pPr>
    </w:p>
    <w:p>
      <w:pPr>
        <w:shd w:val="clear" w:color="auto" w:fill="FFFFFF"/>
        <w:spacing w:after="0" w:line="240" w:lineRule="auto"/>
        <w:rPr>
          <w:rFonts w:ascii="Times New Roman" w:hAnsi="Times New Roman" w:eastAsia="Times New Roman" w:cs="Times New Roman"/>
          <w:color w:val="000000"/>
          <w:sz w:val="24"/>
          <w:szCs w:val="24"/>
        </w:rPr>
      </w:pPr>
    </w:p>
    <w:p>
      <w:pPr>
        <w:shd w:val="clear" w:color="auto" w:fill="FFFFFF"/>
        <w:spacing w:after="0" w:line="240" w:lineRule="auto"/>
        <w:rPr>
          <w:rFonts w:ascii="Times New Roman" w:hAnsi="Times New Roman" w:eastAsia="Times New Roman" w:cs="Times New Roman"/>
          <w:color w:val="000000"/>
          <w:sz w:val="24"/>
          <w:szCs w:val="24"/>
        </w:rPr>
      </w:pPr>
    </w:p>
    <w:p>
      <w:pPr>
        <w:shd w:val="clear" w:color="auto" w:fill="FFFFFF"/>
        <w:spacing w:after="0" w:line="240" w:lineRule="auto"/>
        <w:ind w:left="-360"/>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Pr>
        <w:t>Introduction:</w:t>
      </w:r>
    </w:p>
    <w:p>
      <w:pPr>
        <w:shd w:val="clear" w:color="auto" w:fill="FFFFFF"/>
        <w:spacing w:after="0" w:line="240" w:lineRule="auto"/>
        <w:ind w:left="-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w:t>
      </w:r>
    </w:p>
    <w:p>
      <w:pPr>
        <w:shd w:val="clear" w:color="auto" w:fill="FFFFFF"/>
        <w:spacing w:after="0" w:line="240" w:lineRule="auto"/>
        <w:ind w:left="-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Osteoarthritis sometimes referred as degenerative joint disease or degenerative arthritis, osteoarthritis (OA) is the leading cause of chronic disability among older adults. Knee OA is the most frequent cause of mobility dependency and diminished quality of life, and obesity is a major risk factor for knee OA. Nowadays patients treated pharmacologically, only about half experience a 30% pain reduction, usually without improved function. Unfortunately, the efficacy of intervention by of surgical in mild-to-moderate cases is limited and even the long-term treatment for OA and obesity-related complications too. Therefore, the study tested the hypothesis that achieving sustained, significant weight loss, with or without increased exercise, would reduce joint loading and inflammation and improve clinical outcomes more than increased exercise alone.</w:t>
      </w:r>
    </w:p>
    <w:p>
      <w:pPr>
        <w:spacing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w:t>
      </w:r>
    </w:p>
    <w:p>
      <w:pPr>
        <w:spacing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FF0000"/>
          <w:sz w:val="28"/>
          <w:szCs w:val="28"/>
        </w:rPr>
        <w:t>Assumption</w:t>
      </w:r>
    </w:p>
    <w:p>
      <w:pPr>
        <w:shd w:val="clear" w:color="auto" w:fill="FFFFFF"/>
        <w:spacing w:after="0" w:line="240" w:lineRule="auto"/>
        <w:ind w:left="-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hypothesis of the study can be testable since the issue is widely spread in worldwide  additionally there are several health measurements related to the disease can be used. The main assumption of the research article was to compared the effects of diet-induced weight loss plus exercise (D+E), diet-induced weight loss only (D), and exercise only (E) interventions on mechanistic outcomes and clinical outcomes in overweight and obese adults with knee OA.</w:t>
      </w:r>
    </w:p>
    <w:p>
      <w:pPr>
        <w:shd w:val="clear" w:color="auto" w:fill="FFFFFF"/>
        <w:spacing w:after="0" w:line="240" w:lineRule="auto"/>
        <w:ind w:left="-360"/>
        <w:rPr>
          <w:rFonts w:ascii="Times New Roman" w:hAnsi="Times New Roman" w:eastAsia="Times New Roman" w:cs="Times New Roman"/>
          <w:color w:val="000000"/>
          <w:sz w:val="24"/>
          <w:szCs w:val="24"/>
        </w:rPr>
      </w:pPr>
    </w:p>
    <w:p>
      <w:pPr>
        <w:autoSpaceDE w:val="0"/>
        <w:autoSpaceDN w:val="0"/>
        <w:adjustRightInd w:val="0"/>
        <w:spacing w:after="0" w:line="240" w:lineRule="auto"/>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Pr>
        <w:t xml:space="preserve">Participants: </w:t>
      </w:r>
    </w:p>
    <w:p>
      <w:pPr>
        <w:shd w:val="clear" w:color="auto" w:fill="FFFFFF"/>
        <w:spacing w:after="0" w:line="240" w:lineRule="auto"/>
        <w:ind w:left="-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Between November 2006 and December 2009 participants were recruited. They were 454 overweight and obese older community-dwelling adults (age_55 years with body mass index of 27-41) with pain and radiographic knee OA.  Eligibility was determined by initial phone screen and in-person screening visits.  Participants maintained and adjusted their usual medications as needed with their physicians</w:t>
      </w:r>
      <w:r>
        <w:rPr>
          <w:rFonts w:hint="eastAsia"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 xml:space="preserve"> consent. Finally , Informed consent was obtained in writing from all participants.</w:t>
      </w:r>
    </w:p>
    <w:p>
      <w:pPr>
        <w:shd w:val="clear" w:color="auto" w:fill="FFFFFF"/>
        <w:spacing w:after="0" w:line="240" w:lineRule="auto"/>
        <w:ind w:left="-360"/>
        <w:rPr>
          <w:rFonts w:ascii="Times New Roman" w:hAnsi="Times New Roman" w:eastAsia="Times New Roman" w:cs="Times New Roman"/>
          <w:color w:val="000000"/>
          <w:sz w:val="24"/>
          <w:szCs w:val="24"/>
        </w:rPr>
      </w:pPr>
    </w:p>
    <w:p>
      <w:pPr>
        <w:shd w:val="clear" w:color="auto" w:fill="FFFFFF"/>
        <w:spacing w:after="0" w:line="240" w:lineRule="auto"/>
        <w:ind w:left="-360"/>
        <w:rPr>
          <w:rFonts w:ascii="GuardianTextEgypGR-Regular" w:eastAsia="GuardianTextEgypGR-Regular" w:cs="GuardianTextEgypGR-Regular"/>
          <w:color w:val="231F20"/>
          <w:sz w:val="16"/>
          <w:szCs w:val="16"/>
        </w:rPr>
      </w:pPr>
      <w:r>
        <w:rPr>
          <w:rFonts w:ascii="GuardianTextEgypGR-Regular" w:eastAsia="GuardianTextEgypGR-Regular" w:cs="GuardianTextEgypGR-Regular"/>
          <w:color w:val="231F20"/>
          <w:sz w:val="16"/>
          <w:szCs w:val="16"/>
        </w:rPr>
        <w:t xml:space="preserve"> </w:t>
      </w:r>
    </w:p>
    <w:p>
      <w:pPr>
        <w:autoSpaceDE w:val="0"/>
        <w:autoSpaceDN w:val="0"/>
        <w:adjustRightInd w:val="0"/>
        <w:spacing w:after="0" w:line="240" w:lineRule="auto"/>
        <w:rPr>
          <w:rFonts w:ascii="GuardianSans-Medium" w:hAnsi="GuardianSans-Medium" w:cs="GuardianSans-Medium"/>
          <w:color w:val="D81634"/>
          <w:sz w:val="18"/>
          <w:szCs w:val="18"/>
        </w:rPr>
      </w:pPr>
    </w:p>
    <w:p>
      <w:pPr>
        <w:autoSpaceDE w:val="0"/>
        <w:autoSpaceDN w:val="0"/>
        <w:adjustRightInd w:val="0"/>
        <w:spacing w:after="0" w:line="240" w:lineRule="auto"/>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Pr>
        <w:t>Design:</w:t>
      </w:r>
    </w:p>
    <w:p>
      <w:pPr>
        <w:autoSpaceDE w:val="0"/>
        <w:autoSpaceDN w:val="0"/>
        <w:adjustRightInd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The study was a single blind, randomized controlled trail, 18-month.  It conducted between July 2006 and April 2011 at Wake Forest University and Wake Forest School of Medicine. It was approved by the human subjects committee of Wake Forest Health Sciences. The study randomized participants into 1 of 3 groups: D+E, D, or E. They designated E as the comparison group because they indicated that aerobic walking or resistance training should be part of the standard of care for knee OA patients. There were no data collection to exercise and dietary therapy interactions with patients.  </w:t>
      </w:r>
    </w:p>
    <w:p>
      <w:pPr>
        <w:autoSpaceDE w:val="0"/>
        <w:autoSpaceDN w:val="0"/>
        <w:adjustRightInd w:val="0"/>
        <w:spacing w:after="0" w:line="240" w:lineRule="auto"/>
        <w:rPr>
          <w:rFonts w:ascii="Times New Roman" w:hAnsi="Times New Roman" w:eastAsia="Times New Roman" w:cs="Times New Roman"/>
          <w:color w:val="000000"/>
          <w:sz w:val="28"/>
          <w:szCs w:val="28"/>
        </w:rPr>
      </w:pPr>
    </w:p>
    <w:p>
      <w:pPr>
        <w:autoSpaceDE w:val="0"/>
        <w:autoSpaceDN w:val="0"/>
        <w:adjustRightInd w:val="0"/>
        <w:spacing w:after="0" w:line="240" w:lineRule="auto"/>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Pr>
        <w:t>Results:</w:t>
      </w:r>
    </w:p>
    <w:p>
      <w:pPr>
        <w:autoSpaceDE w:val="0"/>
        <w:autoSpaceDN w:val="0"/>
        <w:adjustRightInd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At 18 months, 399 participants (88%) completed the study. Compared with</w:t>
      </w:r>
    </w:p>
    <w:p>
      <w:pPr>
        <w:autoSpaceDE w:val="0"/>
        <w:autoSpaceDN w:val="0"/>
        <w:adjustRightInd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exercise participants, knee compressive forces were lower in diet participants and IL-6 levels were lower in diet and diet + exercise participants</w:t>
      </w:r>
    </w:p>
    <w:p>
      <w:pPr>
        <w:autoSpaceDE w:val="0"/>
        <w:autoSpaceDN w:val="0"/>
        <w:adjustRightInd w:val="0"/>
        <w:spacing w:after="0" w:line="240" w:lineRule="auto"/>
        <w:rPr>
          <w:rFonts w:ascii="Times New Roman" w:hAnsi="Times New Roman" w:eastAsia="Times New Roman" w:cs="Times New Roman"/>
          <w:color w:val="000000"/>
          <w:sz w:val="28"/>
          <w:szCs w:val="28"/>
        </w:rPr>
      </w:pPr>
    </w:p>
    <w:p>
      <w:pPr>
        <w:autoSpaceDE w:val="0"/>
        <w:autoSpaceDN w:val="0"/>
        <w:adjustRightInd w:val="0"/>
        <w:spacing w:after="0" w:line="240" w:lineRule="auto"/>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Pr>
        <w:t>Conclusion:</w:t>
      </w:r>
    </w:p>
    <w:p>
      <w:pPr>
        <w:autoSpaceDE w:val="0"/>
        <w:autoSpaceDN w:val="0"/>
        <w:adjustRightInd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Among overweight and obese adults with knee OA, after 18 months, participants in the diet + exercise and diet groups had more weight loss and greater reductions in IL-6 levels than those in the exercise group; those in the diet group had greater reductions in knee compressive force than those in the exercise group.</w:t>
      </w:r>
    </w:p>
    <w:p>
      <w:pPr>
        <w:autoSpaceDE w:val="0"/>
        <w:autoSpaceDN w:val="0"/>
        <w:adjustRightInd w:val="0"/>
        <w:spacing w:after="0" w:line="240" w:lineRule="auto"/>
        <w:rPr>
          <w:rFonts w:ascii="Times New Roman" w:hAnsi="Times New Roman" w:eastAsia="Times New Roman" w:cs="Times New Roman"/>
          <w:color w:val="000000"/>
          <w:sz w:val="28"/>
          <w:szCs w:val="28"/>
        </w:rPr>
      </w:pPr>
    </w:p>
    <w:p>
      <w:pPr>
        <w:autoSpaceDE w:val="0"/>
        <w:autoSpaceDN w:val="0"/>
        <w:adjustRightInd w:val="0"/>
        <w:spacing w:after="0" w:line="240" w:lineRule="auto"/>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Pr>
        <w:t>Assessment of the study:</w:t>
      </w:r>
    </w:p>
    <w:p>
      <w:pPr>
        <w:autoSpaceDE w:val="0"/>
        <w:autoSpaceDN w:val="0"/>
        <w:adjustRightInd w:val="0"/>
        <w:spacing w:after="0" w:line="240" w:lineRule="auto"/>
        <w:rPr>
          <w:rFonts w:ascii="Times New Roman" w:hAnsi="Times New Roman" w:eastAsia="Times New Roman" w:cs="Times New Roman"/>
          <w:color w:val="FF0000"/>
          <w:sz w:val="28"/>
          <w:szCs w:val="28"/>
        </w:rPr>
      </w:pPr>
    </w:p>
    <w:p>
      <w:pPr>
        <w:autoSpaceDE w:val="0"/>
        <w:autoSpaceDN w:val="0"/>
        <w:adjustRightInd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There are several formal systems in widespread use for evaluating trial quality, we reviewed many resources for the evaluation. we ended up with the followings for example the study is randomized which was one of the study types that we discussed in class. So, we think yes  the researchers employed the </w:t>
      </w:r>
      <w:r>
        <w:fldChar w:fldCharType="begin"/>
      </w:r>
      <w:r>
        <w:instrText xml:space="preserve"> HYPERLINK "https://en.wikipedia.org/wiki/Gold_standard_(test)" \o "Gold standard (test)" </w:instrText>
      </w:r>
      <w:r>
        <w:fldChar w:fldCharType="separate"/>
      </w:r>
      <w:r>
        <w:rPr>
          <w:rFonts w:ascii="Times New Roman" w:hAnsi="Times New Roman" w:eastAsia="Times New Roman" w:cs="Times New Roman"/>
          <w:color w:val="000000"/>
          <w:sz w:val="28"/>
          <w:szCs w:val="28"/>
        </w:rPr>
        <w:t>gold standard</w:t>
      </w:r>
      <w:r>
        <w:rPr>
          <w:rFonts w:ascii="Times New Roman" w:hAnsi="Times New Roman" w:eastAsia="Times New Roman" w:cs="Times New Roman"/>
          <w:color w:val="000000"/>
          <w:sz w:val="28"/>
          <w:szCs w:val="28"/>
        </w:rPr>
        <w:fldChar w:fldCharType="end"/>
      </w:r>
      <w:r>
        <w:rPr>
          <w:rFonts w:ascii="Times New Roman" w:hAnsi="Times New Roman" w:eastAsia="Times New Roman" w:cs="Times New Roman"/>
          <w:color w:val="000000"/>
          <w:sz w:val="28"/>
          <w:szCs w:val="28"/>
        </w:rPr>
        <w:t> of study type to answer their clinical question. Since their clinical question need to examined and followed their patients accurately.  The study was a single blind which means the patient being blinded to the treatment given but not the administering clinician. The highest level of blinding is preferable to be used in the current study specially it is addressing a critical health issue widely spread.  We think if it was a double blinding would empower the study more. Despite they used a simple code of randomization.  They selected a randomization procedure to generate sequence of allocations which help to minimize the bias.  So, we believe they have a clear allocation concealment in their protocols.  If we want to assess the quality of methodology that used in the study. Intention-to-treat analyses were conducted. Demographic and Clinical Characteristics of the Study Participants at Baseline were well provided and clear. The eligibility criteria Were specified.  The sample size was involved in the study was good Since it recommended only for RCTs with over 200 subjects. There were point measures of variability presented for the primary outcome measures.</w:t>
      </w:r>
    </w:p>
    <w:p>
      <w:pPr>
        <w:autoSpaceDE w:val="0"/>
        <w:autoSpaceDN w:val="0"/>
        <w:adjustRightInd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They assessed whether the results were biased or not, by perform a sensitive analysis using multiple imputation for all 454 randomized individuals. they imputed 50 fully observed data sets with complete data at 6-18 month visits, they analyzed each data set using our previously stated analytic protocol, and aggregated the results. The imputation and aggregation were performed using PROCMI and PROC MIANALYZE, respectively, in SAS version 9.3. they used techniques to Improve Adherence pf the patients.  Diet and exercise interventionists were trained in behavioral techniques based on social cognitive theory and group dynamics. They were reviewed adherence data regularly.</w:t>
      </w:r>
    </w:p>
    <w:p>
      <w:pPr>
        <w:autoSpaceDE w:val="0"/>
        <w:autoSpaceDN w:val="0"/>
        <w:adjustRightInd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participants who needed additional counseling. Additionally the tables were clear in their details and easy to understand.</w:t>
      </w:r>
    </w:p>
    <w:p>
      <w:pPr>
        <w:autoSpaceDE w:val="0"/>
        <w:autoSpaceDN w:val="0"/>
        <w:adjustRightInd w:val="0"/>
        <w:spacing w:after="0" w:line="240" w:lineRule="auto"/>
        <w:rPr>
          <w:rFonts w:ascii="Times New Roman" w:hAnsi="Times New Roman" w:eastAsia="Times New Roman" w:cs="Times New Roman"/>
          <w:color w:val="000000"/>
          <w:sz w:val="28"/>
          <w:szCs w:val="28"/>
        </w:rPr>
      </w:pPr>
    </w:p>
    <w:p>
      <w:pPr>
        <w:autoSpaceDE w:val="0"/>
        <w:autoSpaceDN w:val="0"/>
        <w:adjustRightInd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overlooking flaws in the study with quality evaluation we encourage them to continues and we believe results of the study are trustworthy. </w:t>
      </w:r>
    </w:p>
    <w:p>
      <w:pPr>
        <w:autoSpaceDE w:val="0"/>
        <w:autoSpaceDN w:val="0"/>
        <w:adjustRightInd w:val="0"/>
        <w:spacing w:after="0" w:line="240" w:lineRule="auto"/>
        <w:rPr>
          <w:rFonts w:ascii="Times New Roman" w:hAnsi="Times New Roman" w:eastAsia="Times New Roman" w:cs="Times New Roman"/>
          <w:color w:val="000000"/>
          <w:sz w:val="28"/>
          <w:szCs w:val="28"/>
        </w:rPr>
      </w:pPr>
    </w:p>
    <w:p>
      <w:pPr>
        <w:autoSpaceDE w:val="0"/>
        <w:autoSpaceDN w:val="0"/>
        <w:adjustRightInd w:val="0"/>
        <w:spacing w:after="0" w:line="240" w:lineRule="auto"/>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Pr>
        <w:t>References:</w:t>
      </w:r>
    </w:p>
    <w:p>
      <w:pPr>
        <w:autoSpaceDE w:val="0"/>
        <w:autoSpaceDN w:val="0"/>
        <w:adjustRightInd w:val="0"/>
        <w:spacing w:after="0" w:line="240" w:lineRule="auto"/>
        <w:rPr>
          <w:rFonts w:ascii="Times New Roman" w:hAnsi="Times New Roman" w:eastAsia="Times New Roman" w:cs="Times New Roman"/>
          <w:color w:val="FF0000"/>
          <w:sz w:val="28"/>
          <w:szCs w:val="28"/>
        </w:rPr>
      </w:pPr>
    </w:p>
    <w:p>
      <w:pPr>
        <w:autoSpaceDE w:val="0"/>
        <w:autoSpaceDN w:val="0"/>
        <w:adjustRightInd w:val="0"/>
        <w:spacing w:after="0" w:line="240" w:lineRule="auto"/>
        <w:rPr>
          <w:rFonts w:ascii="Times New Roman" w:hAnsi="Times New Roman" w:eastAsia="Times New Roman" w:cs="Times New Roman"/>
          <w:color w:val="FF0000"/>
          <w:sz w:val="28"/>
          <w:szCs w:val="28"/>
        </w:rPr>
      </w:pPr>
      <w:r>
        <w:fldChar w:fldCharType="begin"/>
      </w:r>
      <w:r>
        <w:instrText xml:space="preserve"> HYPERLINK "https://www.sealedenvelope.com/randomisation/blinding/" </w:instrText>
      </w:r>
      <w:r>
        <w:fldChar w:fldCharType="separate"/>
      </w:r>
      <w:r>
        <w:rPr>
          <w:rStyle w:val="3"/>
          <w:rFonts w:ascii="Times New Roman" w:hAnsi="Times New Roman" w:eastAsia="Times New Roman" w:cs="Times New Roman"/>
          <w:sz w:val="28"/>
          <w:szCs w:val="28"/>
        </w:rPr>
        <w:t>https://www.sealedenvelope.com/randomisation/blinding/</w:t>
      </w:r>
      <w:r>
        <w:rPr>
          <w:rStyle w:val="3"/>
          <w:rFonts w:ascii="Times New Roman" w:hAnsi="Times New Roman" w:eastAsia="Times New Roman" w:cs="Times New Roman"/>
          <w:sz w:val="28"/>
          <w:szCs w:val="28"/>
        </w:rPr>
        <w:fldChar w:fldCharType="end"/>
      </w:r>
    </w:p>
    <w:p>
      <w:pPr>
        <w:autoSpaceDE w:val="0"/>
        <w:autoSpaceDN w:val="0"/>
        <w:adjustRightInd w:val="0"/>
        <w:spacing w:after="0" w:line="240" w:lineRule="auto"/>
        <w:rPr>
          <w:rFonts w:ascii="Times New Roman" w:hAnsi="Times New Roman" w:eastAsia="Times New Roman" w:cs="Times New Roman"/>
          <w:color w:val="FF0000"/>
          <w:sz w:val="28"/>
          <w:szCs w:val="28"/>
        </w:rPr>
      </w:pPr>
      <w:r>
        <w:fldChar w:fldCharType="begin"/>
      </w:r>
      <w:r>
        <w:instrText xml:space="preserve"> HYPERLINK "https://www.ncbi.nlm.nih.gov/pmc/articles/PMC2694951/" </w:instrText>
      </w:r>
      <w:r>
        <w:fldChar w:fldCharType="separate"/>
      </w:r>
      <w:r>
        <w:rPr>
          <w:rStyle w:val="3"/>
          <w:rFonts w:ascii="Times New Roman" w:hAnsi="Times New Roman" w:eastAsia="Times New Roman" w:cs="Times New Roman"/>
          <w:sz w:val="28"/>
          <w:szCs w:val="28"/>
        </w:rPr>
        <w:t>https://www.ncbi.nlm.nih.gov/pmc/articles/PMC2694951/</w:t>
      </w:r>
      <w:r>
        <w:rPr>
          <w:rStyle w:val="3"/>
          <w:rFonts w:ascii="Times New Roman" w:hAnsi="Times New Roman" w:eastAsia="Times New Roman" w:cs="Times New Roman"/>
          <w:sz w:val="28"/>
          <w:szCs w:val="28"/>
        </w:rPr>
        <w:fldChar w:fldCharType="end"/>
      </w:r>
    </w:p>
    <w:p>
      <w:pPr>
        <w:autoSpaceDE w:val="0"/>
        <w:autoSpaceDN w:val="0"/>
        <w:adjustRightInd w:val="0"/>
        <w:spacing w:after="0" w:line="240" w:lineRule="auto"/>
        <w:rPr>
          <w:rFonts w:ascii="Times New Roman" w:hAnsi="Times New Roman" w:eastAsia="Times New Roman" w:cs="Times New Roman"/>
          <w:color w:val="FF0000"/>
          <w:sz w:val="28"/>
          <w:szCs w:val="28"/>
        </w:rPr>
      </w:pPr>
      <w:r>
        <w:fldChar w:fldCharType="begin"/>
      </w:r>
      <w:r>
        <w:instrText xml:space="preserve"> HYPERLINK "http://web.csulb.edu/~arezaei/EDP520/critique.htm" </w:instrText>
      </w:r>
      <w:r>
        <w:fldChar w:fldCharType="separate"/>
      </w:r>
      <w:r>
        <w:rPr>
          <w:rStyle w:val="3"/>
          <w:rFonts w:ascii="Times New Roman" w:hAnsi="Times New Roman" w:eastAsia="Times New Roman" w:cs="Times New Roman"/>
          <w:sz w:val="28"/>
          <w:szCs w:val="28"/>
        </w:rPr>
        <w:t>http://web.csulb.edu/~arezaei/EDP520/critique.htm</w:t>
      </w:r>
      <w:r>
        <w:rPr>
          <w:rStyle w:val="3"/>
          <w:rFonts w:ascii="Times New Roman" w:hAnsi="Times New Roman" w:eastAsia="Times New Roman" w:cs="Times New Roman"/>
          <w:sz w:val="28"/>
          <w:szCs w:val="28"/>
        </w:rPr>
        <w:fldChar w:fldCharType="end"/>
      </w:r>
    </w:p>
    <w:p>
      <w:pPr>
        <w:autoSpaceDE w:val="0"/>
        <w:autoSpaceDN w:val="0"/>
        <w:adjustRightInd w:val="0"/>
        <w:spacing w:after="0" w:line="240" w:lineRule="auto"/>
        <w:rPr>
          <w:rFonts w:ascii="Times New Roman" w:hAnsi="Times New Roman" w:eastAsia="Times New Roman" w:cs="Times New Roman"/>
          <w:color w:val="FF0000"/>
          <w:sz w:val="28"/>
          <w:szCs w:val="28"/>
        </w:rPr>
      </w:pPr>
      <w:r>
        <w:fldChar w:fldCharType="begin"/>
      </w:r>
      <w:r>
        <w:instrText xml:space="preserve"> HYPERLINK "https://support.sas.com/documentation/onlinedoc/stat/131/mi.pdf" </w:instrText>
      </w:r>
      <w:r>
        <w:fldChar w:fldCharType="separate"/>
      </w:r>
      <w:r>
        <w:rPr>
          <w:rStyle w:val="3"/>
          <w:rFonts w:ascii="Times New Roman" w:hAnsi="Times New Roman" w:eastAsia="Times New Roman" w:cs="Times New Roman"/>
          <w:sz w:val="28"/>
          <w:szCs w:val="28"/>
        </w:rPr>
        <w:t>https://support.sas.com/documentation/onlinedoc/stat/131/mi.pdf</w:t>
      </w:r>
      <w:r>
        <w:rPr>
          <w:rStyle w:val="3"/>
          <w:rFonts w:ascii="Times New Roman" w:hAnsi="Times New Roman" w:eastAsia="Times New Roman" w:cs="Times New Roman"/>
          <w:sz w:val="28"/>
          <w:szCs w:val="28"/>
        </w:rPr>
        <w:fldChar w:fldCharType="end"/>
      </w:r>
    </w:p>
    <w:p>
      <w:pPr>
        <w:autoSpaceDE w:val="0"/>
        <w:autoSpaceDN w:val="0"/>
        <w:adjustRightInd w:val="0"/>
        <w:spacing w:after="0" w:line="240" w:lineRule="auto"/>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Pr>
        <w:fldChar w:fldCharType="begin"/>
      </w:r>
      <w:r>
        <w:rPr>
          <w:rFonts w:ascii="Times New Roman" w:hAnsi="Times New Roman" w:eastAsia="Times New Roman" w:cs="Times New Roman"/>
          <w:color w:val="FF0000"/>
          <w:sz w:val="28"/>
          <w:szCs w:val="28"/>
        </w:rPr>
        <w:instrText xml:space="preserve"> HYPERLINK "http://www.arthritis.org/about-arthritis/types/osteoarthritis/what-is-osteoarthritis.php" </w:instrText>
      </w:r>
      <w:r>
        <w:rPr>
          <w:rFonts w:ascii="Times New Roman" w:hAnsi="Times New Roman" w:eastAsia="Times New Roman" w:cs="Times New Roman"/>
          <w:color w:val="FF0000"/>
          <w:sz w:val="28"/>
          <w:szCs w:val="28"/>
        </w:rPr>
        <w:fldChar w:fldCharType="separate"/>
      </w:r>
      <w:r>
        <w:rPr>
          <w:rStyle w:val="3"/>
          <w:rFonts w:ascii="Times New Roman" w:hAnsi="Times New Roman" w:eastAsia="Times New Roman" w:cs="Times New Roman"/>
          <w:sz w:val="28"/>
          <w:szCs w:val="28"/>
        </w:rPr>
        <w:t>http://www.arthritis.org/about-arthritis/types/osteoarthritis/what-is-osteoarthritis.php</w:t>
      </w:r>
      <w:r>
        <w:rPr>
          <w:rFonts w:ascii="Times New Roman" w:hAnsi="Times New Roman" w:eastAsia="Times New Roman" w:cs="Times New Roman"/>
          <w:color w:val="FF0000"/>
          <w:sz w:val="28"/>
          <w:szCs w:val="28"/>
        </w:rPr>
        <w:fldChar w:fldCharType="end"/>
      </w:r>
    </w:p>
    <w:p>
      <w:pPr>
        <w:autoSpaceDE w:val="0"/>
        <w:autoSpaceDN w:val="0"/>
        <w:adjustRightInd w:val="0"/>
        <w:spacing w:after="0" w:line="240" w:lineRule="auto"/>
        <w:rPr>
          <w:rFonts w:ascii="Times New Roman" w:hAnsi="Times New Roman" w:eastAsia="Times New Roman" w:cs="Times New Roman"/>
          <w:color w:val="FF0000"/>
          <w:sz w:val="28"/>
          <w:szCs w:val="28"/>
        </w:rPr>
      </w:pPr>
    </w:p>
    <w:p>
      <w:pPr>
        <w:autoSpaceDE w:val="0"/>
        <w:autoSpaceDN w:val="0"/>
        <w:adjustRightInd w:val="0"/>
        <w:spacing w:after="0" w:line="240" w:lineRule="auto"/>
        <w:rPr>
          <w:rFonts w:ascii="Times New Roman" w:hAnsi="Times New Roman" w:eastAsia="Times New Roman" w:cs="Times New Roman"/>
          <w:color w:val="FF0000"/>
          <w:sz w:val="28"/>
          <w:szCs w:val="28"/>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inherit">
    <w:altName w:val="Cambria"/>
    <w:panose1 w:val="00000000000000000000"/>
    <w:charset w:val="00"/>
    <w:family w:val="roman"/>
    <w:pitch w:val="default"/>
    <w:sig w:usb0="00000000" w:usb1="00000000" w:usb2="00000000" w:usb3="00000000" w:csb0="00000000" w:csb1="00000000"/>
  </w:font>
  <w:font w:name="GuardianSans-Medium">
    <w:altName w:val="Calibri"/>
    <w:panose1 w:val="00000000000000000000"/>
    <w:charset w:val="00"/>
    <w:family w:val="auto"/>
    <w:pitch w:val="default"/>
    <w:sig w:usb0="00000000" w:usb1="00000000" w:usb2="00000000" w:usb3="00000000" w:csb0="00000001" w:csb1="00000000"/>
  </w:font>
  <w:font w:name="GuardianSansGR-Regular">
    <w:altName w:val="Yu Gothic"/>
    <w:panose1 w:val="00000000000000000000"/>
    <w:charset w:val="80"/>
    <w:family w:val="auto"/>
    <w:pitch w:val="default"/>
    <w:sig w:usb0="00000000" w:usb1="00000000" w:usb2="00000010" w:usb3="00000000" w:csb0="00020000" w:csb1="00000000"/>
  </w:font>
  <w:font w:name="GuardianTextEgypGR-Regular">
    <w:altName w:val="Yu Gothic"/>
    <w:panose1 w:val="00000000000000000000"/>
    <w:charset w:val="80"/>
    <w:family w:val="auto"/>
    <w:pitch w:val="default"/>
    <w:sig w:usb0="00000000" w:usb1="00000000" w:usb2="00000010" w:usb3="00000000" w:csb0="00020000" w:csb1="00000000"/>
  </w:font>
  <w:font w:name="PMingLiU">
    <w:altName w:val="Microsoft JhengHei UI"/>
    <w:panose1 w:val="02010601000101010101"/>
    <w:charset w:val="88"/>
    <w:family w:val="auto"/>
    <w:pitch w:val="default"/>
    <w:sig w:usb0="00000000" w:usb1="00000000" w:usb2="00000010" w:usb3="00000000" w:csb0="00100000" w:csb1="00000000"/>
  </w:font>
  <w:font w:name="Calibri Light">
    <w:panose1 w:val="020F0302020204030204"/>
    <w:charset w:val="00"/>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Yu Gothic">
    <w:panose1 w:val="020B04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C67"/>
    <w:rsid w:val="00051B9C"/>
    <w:rsid w:val="000D1656"/>
    <w:rsid w:val="00166C7D"/>
    <w:rsid w:val="00186C67"/>
    <w:rsid w:val="001C2FC3"/>
    <w:rsid w:val="001F5B06"/>
    <w:rsid w:val="002104F7"/>
    <w:rsid w:val="00252065"/>
    <w:rsid w:val="002C12A4"/>
    <w:rsid w:val="0036474B"/>
    <w:rsid w:val="0036588B"/>
    <w:rsid w:val="00443642"/>
    <w:rsid w:val="004C525A"/>
    <w:rsid w:val="004D0C84"/>
    <w:rsid w:val="005B4EDA"/>
    <w:rsid w:val="007174B3"/>
    <w:rsid w:val="007A45CC"/>
    <w:rsid w:val="0088436A"/>
    <w:rsid w:val="00912319"/>
    <w:rsid w:val="00A271E0"/>
    <w:rsid w:val="00A44CE1"/>
    <w:rsid w:val="00B24376"/>
    <w:rsid w:val="00B311C2"/>
    <w:rsid w:val="00B41B41"/>
    <w:rsid w:val="00C64529"/>
    <w:rsid w:val="00E27F15"/>
    <w:rsid w:val="00F22ABB"/>
    <w:rsid w:val="55245809"/>
  </w:rsids>
  <m:mathPr>
    <m:lMargin m:val="0"/>
    <m:mathFont m:val="Cambria Math"/>
    <m:rMargin m:val="0"/>
    <m:wrapIndent m:val="1440"/>
    <m:brkBin m:val="before"/>
    <m:brkBinSub m:val="--"/>
    <m:defJc m:val="centerGroup"/>
    <m:intLim m:val="subSup"/>
    <m:naryLim m:val="undOvr"/>
    <m:smallFrac m:val="0"/>
    <m:dispDef/>
  </m:mathPr>
  <w:themeFontLang w:val="en-US" w:eastAsia="zh-TW"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qFormat/>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character" w:styleId="3">
    <w:name w:val="Hyperlink"/>
    <w:basedOn w:val="2"/>
    <w:unhideWhenUsed/>
    <w:uiPriority w:val="99"/>
    <w:rPr>
      <w:color w:val="0000FF"/>
      <w:u w:val="single"/>
    </w:rPr>
  </w:style>
  <w:style w:type="character" w:customStyle="1" w:styleId="5">
    <w:name w:val="apple-converted-space"/>
    <w:basedOn w:val="2"/>
    <w:uiPriority w:val="0"/>
  </w:style>
  <w:style w:type="character" w:customStyle="1" w:styleId="6">
    <w:name w:val="Mention"/>
    <w:basedOn w:val="2"/>
    <w:unhideWhenUsed/>
    <w:uiPriority w:val="99"/>
    <w:rPr>
      <w:color w:val="2B579A"/>
      <w:shd w:val="clear" w:color="auto" w:fill="E6E6E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965</Words>
  <Characters>5503</Characters>
  <Lines>45</Lines>
  <Paragraphs>12</Paragraphs>
  <TotalTime>0</TotalTime>
  <ScaleCrop>false</ScaleCrop>
  <LinksUpToDate>false</LinksUpToDate>
  <CharactersWithSpaces>6456</CharactersWithSpaces>
  <Application>WPS Office_10.2.0.5811_F1E327BC-269C-435d-A152-05C5408002CA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2017-03-15T04:23:00Z</dcterms:created>
  <dc:creator>abdulaziz alanze</dc:creator>
  <cp:lastModifiedBy>DHM</cp:lastModifiedBy>
  <dcterms:modified xsi:type="dcterms:W3CDTF">2017-03-16T02:50:30Z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